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6F" w:rsidRDefault="00F24A6F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Roma, </w:t>
      </w:r>
      <w:r w:rsidR="004F6D2C">
        <w:rPr>
          <w:rFonts w:ascii="Verdana" w:hAnsi="Verdana"/>
          <w:sz w:val="20"/>
          <w:szCs w:val="20"/>
        </w:rPr>
        <w:t>13 settembre 2012</w:t>
      </w: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Pr="004F6D2C" w:rsidRDefault="004F6D2C" w:rsidP="008A5CBA">
      <w:pPr>
        <w:jc w:val="both"/>
        <w:rPr>
          <w:rFonts w:ascii="Verdana" w:hAnsi="Verdana"/>
          <w:sz w:val="28"/>
          <w:szCs w:val="28"/>
        </w:rPr>
      </w:pPr>
      <w:r w:rsidRPr="004F6D2C">
        <w:rPr>
          <w:rFonts w:ascii="Verdana" w:hAnsi="Verdana"/>
          <w:b/>
          <w:sz w:val="28"/>
          <w:szCs w:val="28"/>
        </w:rPr>
        <w:t>BAR E RISTORANTI: PREZZI, CONSUMI E … DINTORNI</w:t>
      </w: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4F6D2C" w:rsidRDefault="004F6D2C" w:rsidP="004F6D2C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Nell’ultimo anno i prezzi della ristorazione sono aumentati del 2,2% a fronte di un tasso d’inflazione generale del 3,2%.</w:t>
      </w:r>
    </w:p>
    <w:p w:rsidR="004F6D2C" w:rsidRDefault="004F6D2C" w:rsidP="004F6D2C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E’ dall’inizio del 2011 che i prezzi di ristoranti e bar mantengono un profilo di crescita moderata in un contesto inflattivo vivace, in particolare nei servizi pubblici locali (acqua, elettricità, rifiuti) e nei prodotti alimentari, voci entrambe pesanti nei costi della ristorazione.  </w:t>
      </w:r>
    </w:p>
    <w:p w:rsidR="004F6D2C" w:rsidRDefault="004F6D2C" w:rsidP="004F6D2C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Cs/>
          <w:sz w:val="20"/>
          <w:szCs w:val="20"/>
        </w:rPr>
      </w:pPr>
      <w:r w:rsidRPr="006E4887">
        <w:rPr>
          <w:noProof/>
          <w:sz w:val="16"/>
          <w:szCs w:val="16"/>
        </w:rPr>
        <w:drawing>
          <wp:inline distT="0" distB="0" distL="0" distR="0" wp14:anchorId="623929F5" wp14:editId="460B7924">
            <wp:extent cx="4719320" cy="2026920"/>
            <wp:effectExtent l="0" t="0" r="24130" b="1143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6D2C" w:rsidRDefault="004F6D2C" w:rsidP="004F6D2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F6D2C" w:rsidRDefault="004F6D2C" w:rsidP="004F6D2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Gli effetti sui prezzi sono ben </w:t>
      </w:r>
      <w:r w:rsidRPr="00475629">
        <w:rPr>
          <w:rFonts w:ascii="Verdana" w:hAnsi="Verdana"/>
          <w:i/>
          <w:sz w:val="20"/>
          <w:szCs w:val="20"/>
        </w:rPr>
        <w:t>spiegati</w:t>
      </w:r>
      <w:r>
        <w:rPr>
          <w:rFonts w:ascii="Verdana" w:hAnsi="Verdana"/>
          <w:sz w:val="20"/>
          <w:szCs w:val="20"/>
        </w:rPr>
        <w:t xml:space="preserve"> da alcuni prodotti simbolo del bar come caffè a cappuccino. Rispetto ad un anno fa il caffè è aumentato di </w:t>
      </w:r>
      <w:r w:rsidRPr="00411613">
        <w:rPr>
          <w:rFonts w:ascii="Verdana" w:hAnsi="Verdana"/>
          <w:b/>
          <w:sz w:val="20"/>
          <w:szCs w:val="20"/>
        </w:rPr>
        <w:t>tre centesimi</w:t>
      </w:r>
      <w:r>
        <w:rPr>
          <w:rFonts w:ascii="Verdana" w:hAnsi="Verdana"/>
          <w:sz w:val="20"/>
          <w:szCs w:val="20"/>
        </w:rPr>
        <w:t xml:space="preserve"> ed il cappuccino di </w:t>
      </w:r>
      <w:r w:rsidRPr="00411613">
        <w:rPr>
          <w:rFonts w:ascii="Verdana" w:hAnsi="Verdana"/>
          <w:b/>
          <w:sz w:val="20"/>
          <w:szCs w:val="20"/>
        </w:rPr>
        <w:t>due</w:t>
      </w:r>
      <w:r>
        <w:rPr>
          <w:rFonts w:ascii="Verdana" w:hAnsi="Verdana"/>
          <w:sz w:val="20"/>
          <w:szCs w:val="20"/>
        </w:rPr>
        <w:t xml:space="preserve">. Attualmente il prezzo medio della tazzina di espresso è di </w:t>
      </w:r>
      <w:r w:rsidRPr="00411613">
        <w:rPr>
          <w:rFonts w:ascii="Verdana" w:hAnsi="Verdana"/>
          <w:b/>
          <w:sz w:val="20"/>
          <w:szCs w:val="20"/>
        </w:rPr>
        <w:t xml:space="preserve">93 </w:t>
      </w:r>
      <w:r>
        <w:rPr>
          <w:rFonts w:ascii="Verdana" w:hAnsi="Verdana"/>
          <w:b/>
          <w:sz w:val="20"/>
          <w:szCs w:val="20"/>
        </w:rPr>
        <w:t xml:space="preserve">centesimi di </w:t>
      </w:r>
      <w:r w:rsidRPr="00411613">
        <w:rPr>
          <w:rFonts w:ascii="Verdana" w:hAnsi="Verdana"/>
          <w:b/>
          <w:sz w:val="20"/>
          <w:szCs w:val="20"/>
        </w:rPr>
        <w:t>euro</w:t>
      </w:r>
      <w:r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mentre per un cappuccino sono necessari, sempre in media, </w:t>
      </w:r>
      <w:r w:rsidRPr="00411613">
        <w:rPr>
          <w:rFonts w:ascii="Verdana" w:hAnsi="Verdana"/>
          <w:b/>
          <w:sz w:val="20"/>
          <w:szCs w:val="20"/>
        </w:rPr>
        <w:t>1,25 euro</w:t>
      </w:r>
      <w:r>
        <w:rPr>
          <w:rFonts w:ascii="Verdana" w:hAnsi="Verdana"/>
          <w:sz w:val="20"/>
          <w:szCs w:val="20"/>
        </w:rPr>
        <w:t>.</w:t>
      </w:r>
    </w:p>
    <w:p w:rsidR="004F6D2C" w:rsidRDefault="004F6D2C" w:rsidP="004F6D2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panino, un altro prodotto importante per i consumatori italiani (tra chi pranza abitualmente fuori casa lo sceglie uno su quattro), ha un prezzo medio di </w:t>
      </w:r>
      <w:r w:rsidRPr="00411613">
        <w:rPr>
          <w:rFonts w:ascii="Verdana" w:hAnsi="Verdana"/>
          <w:b/>
          <w:sz w:val="20"/>
          <w:szCs w:val="20"/>
        </w:rPr>
        <w:t>2,86 euro</w:t>
      </w:r>
      <w:r>
        <w:rPr>
          <w:rFonts w:ascii="Verdana" w:hAnsi="Verdana"/>
          <w:sz w:val="20"/>
          <w:szCs w:val="20"/>
        </w:rPr>
        <w:t xml:space="preserve"> con un aumento di </w:t>
      </w:r>
      <w:r w:rsidRPr="00411613">
        <w:rPr>
          <w:rFonts w:ascii="Verdana" w:hAnsi="Verdana"/>
          <w:b/>
          <w:sz w:val="20"/>
          <w:szCs w:val="20"/>
        </w:rPr>
        <w:t>otto centesimi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E4887">
        <w:rPr>
          <w:rFonts w:ascii="Verdana" w:hAnsi="Verdana"/>
          <w:sz w:val="20"/>
          <w:szCs w:val="20"/>
        </w:rPr>
        <w:t>rispetto ad un anno fa.</w:t>
      </w:r>
      <w:r>
        <w:rPr>
          <w:rFonts w:ascii="Verdana" w:hAnsi="Verdana"/>
          <w:sz w:val="20"/>
          <w:szCs w:val="20"/>
        </w:rPr>
        <w:t xml:space="preserve"> </w:t>
      </w:r>
    </w:p>
    <w:p w:rsidR="004F6D2C" w:rsidRDefault="004F6D2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4F6D2C" w:rsidRPr="00F449D1" w:rsidRDefault="004F6D2C" w:rsidP="004F6D2C">
      <w:pPr>
        <w:rPr>
          <w:rFonts w:ascii="Verdana" w:hAnsi="Verdana"/>
          <w:b/>
          <w:sz w:val="18"/>
          <w:szCs w:val="18"/>
        </w:rPr>
      </w:pPr>
      <w:r w:rsidRPr="00F449D1">
        <w:rPr>
          <w:rFonts w:ascii="Verdana" w:hAnsi="Verdana"/>
          <w:b/>
          <w:sz w:val="18"/>
          <w:szCs w:val="18"/>
        </w:rPr>
        <w:lastRenderedPageBreak/>
        <w:t>L’andamento dei prezzi di alcuni prodotti della ristorazione</w:t>
      </w:r>
    </w:p>
    <w:p w:rsidR="004F6D2C" w:rsidRPr="00DF7881" w:rsidRDefault="004F6D2C" w:rsidP="004F6D2C">
      <w:pPr>
        <w:rPr>
          <w:rFonts w:ascii="Verdana" w:hAnsi="Verdana"/>
          <w:i/>
          <w:sz w:val="16"/>
          <w:szCs w:val="16"/>
        </w:rPr>
      </w:pPr>
      <w:r w:rsidRPr="00DF7881">
        <w:rPr>
          <w:rFonts w:ascii="Verdana" w:hAnsi="Verdana"/>
          <w:i/>
          <w:sz w:val="16"/>
          <w:szCs w:val="16"/>
        </w:rPr>
        <w:t>(</w:t>
      </w:r>
      <w:proofErr w:type="spellStart"/>
      <w:r w:rsidRPr="00DF7881">
        <w:rPr>
          <w:rFonts w:ascii="Verdana" w:hAnsi="Verdana"/>
          <w:i/>
          <w:sz w:val="16"/>
          <w:szCs w:val="16"/>
        </w:rPr>
        <w:t>lug</w:t>
      </w:r>
      <w:proofErr w:type="spellEnd"/>
      <w:r w:rsidRPr="00DF7881">
        <w:rPr>
          <w:rFonts w:ascii="Verdana" w:hAnsi="Verdana"/>
          <w:i/>
          <w:sz w:val="16"/>
          <w:szCs w:val="16"/>
        </w:rPr>
        <w:t xml:space="preserve">. 2012 / </w:t>
      </w:r>
      <w:proofErr w:type="spellStart"/>
      <w:r w:rsidRPr="00DF7881">
        <w:rPr>
          <w:rFonts w:ascii="Verdana" w:hAnsi="Verdana"/>
          <w:i/>
          <w:sz w:val="16"/>
          <w:szCs w:val="16"/>
        </w:rPr>
        <w:t>lug</w:t>
      </w:r>
      <w:proofErr w:type="spellEnd"/>
      <w:r w:rsidRPr="00DF7881">
        <w:rPr>
          <w:rFonts w:ascii="Verdana" w:hAnsi="Verdana"/>
          <w:i/>
          <w:sz w:val="16"/>
          <w:szCs w:val="16"/>
        </w:rPr>
        <w:t>. 2011 - valori in euro)</w:t>
      </w: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960"/>
        <w:gridCol w:w="1780"/>
      </w:tblGrid>
      <w:tr w:rsidR="004F6D2C" w:rsidRPr="00090BDB" w:rsidTr="00B41E28">
        <w:trPr>
          <w:trHeight w:val="40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0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prezzo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0B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var</w:t>
            </w:r>
            <w:r w:rsidRPr="00DF78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iazioni assolute</w:t>
            </w:r>
          </w:p>
        </w:tc>
      </w:tr>
      <w:tr w:rsidR="004F6D2C" w:rsidRPr="00090BDB" w:rsidTr="00B41E28">
        <w:trPr>
          <w:trHeight w:val="31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90BD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lug</w:t>
            </w:r>
            <w:proofErr w:type="spellEnd"/>
            <w:r w:rsidRPr="00090BD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 2012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90BD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lug</w:t>
            </w:r>
            <w:proofErr w:type="spellEnd"/>
            <w:r w:rsidRPr="00090BD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 2012/lug.2011</w:t>
            </w:r>
          </w:p>
        </w:tc>
      </w:tr>
      <w:tr w:rsidR="004F6D2C" w:rsidRPr="00090BDB" w:rsidTr="00B41E2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tazzina caffè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0,93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0,03</w:t>
            </w:r>
          </w:p>
        </w:tc>
      </w:tr>
      <w:tr w:rsidR="004F6D2C" w:rsidRPr="00090BDB" w:rsidTr="00B41E2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cappuccino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1,25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4F6D2C" w:rsidRPr="00090BDB" w:rsidTr="00B41E2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 xml:space="preserve">panino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2,86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0,08</w:t>
            </w:r>
          </w:p>
        </w:tc>
      </w:tr>
      <w:tr w:rsidR="004F6D2C" w:rsidRPr="00090BDB" w:rsidTr="00B41E28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pasto in pizzeria*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8,81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0,21</w:t>
            </w:r>
          </w:p>
        </w:tc>
      </w:tr>
      <w:tr w:rsidR="004F6D2C" w:rsidRPr="00090BDB" w:rsidTr="00B41E28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*</w:t>
            </w:r>
            <w:proofErr w:type="spellStart"/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pizza+bevanda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F6D2C" w:rsidRPr="007E31C9" w:rsidTr="00B41E28">
        <w:trPr>
          <w:trHeight w:val="300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2C" w:rsidRPr="007E31C9" w:rsidRDefault="004F6D2C" w:rsidP="00B41E28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Fonte: </w:t>
            </w:r>
            <w:proofErr w:type="spellStart"/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elaboraz</w:t>
            </w:r>
            <w:proofErr w:type="spellEnd"/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. C.S. </w:t>
            </w:r>
            <w:proofErr w:type="spellStart"/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Fipe</w:t>
            </w:r>
            <w:proofErr w:type="spellEnd"/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su dati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Istat e </w:t>
            </w:r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Osservatorio Prezzi</w:t>
            </w:r>
          </w:p>
        </w:tc>
      </w:tr>
    </w:tbl>
    <w:p w:rsidR="004F6D2C" w:rsidRDefault="004F6D2C" w:rsidP="004F6D2C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In ristoranti, trattorie e pizzerie l’inflazione è ancora più fredda. In un anno</w:t>
      </w:r>
      <w:r>
        <w:rPr>
          <w:rFonts w:ascii="Verdana" w:hAnsi="Verdana" w:cs="Verdana"/>
          <w:bCs/>
          <w:sz w:val="20"/>
          <w:szCs w:val="20"/>
        </w:rPr>
        <w:t xml:space="preserve"> i prezzi sono aumentati dell’1,9%. Oggi per un pasto in pizzeria (</w:t>
      </w:r>
      <w:proofErr w:type="spellStart"/>
      <w:r>
        <w:rPr>
          <w:rFonts w:ascii="Verdana" w:hAnsi="Verdana" w:cs="Verdana"/>
          <w:bCs/>
          <w:sz w:val="20"/>
          <w:szCs w:val="20"/>
        </w:rPr>
        <w:t>pizza+bevanda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) sono necessari </w:t>
      </w:r>
      <w:r w:rsidRPr="008E379B">
        <w:rPr>
          <w:rFonts w:ascii="Verdana" w:hAnsi="Verdana" w:cs="Verdana"/>
          <w:b/>
          <w:bCs/>
          <w:sz w:val="20"/>
          <w:szCs w:val="20"/>
        </w:rPr>
        <w:t>8,81 euro</w:t>
      </w:r>
      <w:r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Pr="008E379B">
        <w:rPr>
          <w:rFonts w:ascii="Verdana" w:hAnsi="Verdana" w:cs="Verdana"/>
          <w:b/>
          <w:bCs/>
          <w:sz w:val="20"/>
          <w:szCs w:val="20"/>
        </w:rPr>
        <w:t xml:space="preserve">21 centesimi </w:t>
      </w:r>
      <w:r>
        <w:rPr>
          <w:rFonts w:ascii="Verdana" w:hAnsi="Verdana" w:cs="Verdana"/>
          <w:bCs/>
          <w:sz w:val="20"/>
          <w:szCs w:val="20"/>
        </w:rPr>
        <w:t>più di quanto si spendeva un anno fa (valori medi).</w:t>
      </w:r>
    </w:p>
    <w:p w:rsidR="004F6D2C" w:rsidRDefault="004F6D2C" w:rsidP="004F6D2C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Questa (debole) dinamica dei prezzi è la prova provata di una domanda che non tira. Nel primo semestre di quest’anno</w:t>
      </w:r>
      <w:r w:rsidRPr="00DE0A2D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le vendite reali della ristorazione, ovvero al netto dell’inflazione, sono calate dell’1,9%.</w:t>
      </w:r>
    </w:p>
    <w:p w:rsidR="004F6D2C" w:rsidRPr="00DE0A2D" w:rsidRDefault="004F6D2C" w:rsidP="004F6D2C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1332B73" wp14:editId="6316BEA8">
            <wp:extent cx="4551680" cy="2189480"/>
            <wp:effectExtent l="0" t="0" r="20320" b="2032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6D2C" w:rsidRDefault="004F6D2C" w:rsidP="004F6D2C">
      <w:pPr>
        <w:jc w:val="both"/>
        <w:rPr>
          <w:rFonts w:ascii="Verdana" w:hAnsi="Verdana" w:cs="Verdana"/>
          <w:bCs/>
          <w:sz w:val="20"/>
          <w:szCs w:val="20"/>
        </w:rPr>
      </w:pPr>
    </w:p>
    <w:p w:rsidR="004F6D2C" w:rsidRDefault="004F6D2C" w:rsidP="004F6D2C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Le difficoltà dei consumi si riflettono sull’andamento dei prezzi ma anche sul turnover delle attività di ristorazione. Tra gennaio e giugno del 2012 hanno cessato l’attività </w:t>
      </w:r>
      <w:r w:rsidRPr="00F449D1">
        <w:rPr>
          <w:rFonts w:ascii="Verdana" w:hAnsi="Verdana" w:cs="Verdana"/>
          <w:b/>
          <w:bCs/>
          <w:sz w:val="20"/>
          <w:szCs w:val="20"/>
        </w:rPr>
        <w:t>14.004</w:t>
      </w:r>
      <w:r>
        <w:rPr>
          <w:rFonts w:ascii="Verdana" w:hAnsi="Verdana" w:cs="Verdana"/>
          <w:bCs/>
          <w:sz w:val="20"/>
          <w:szCs w:val="20"/>
        </w:rPr>
        <w:t xml:space="preserve"> imprese.</w:t>
      </w:r>
    </w:p>
    <w:p w:rsidR="004F6D2C" w:rsidRPr="00117B38" w:rsidRDefault="004F6D2C" w:rsidP="004F6D2C">
      <w:pPr>
        <w:ind w:left="284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117B38">
        <w:rPr>
          <w:rFonts w:ascii="Verdana" w:hAnsi="Verdana" w:cs="Verdana"/>
          <w:b/>
          <w:bCs/>
          <w:sz w:val="20"/>
          <w:szCs w:val="20"/>
        </w:rPr>
        <w:t>Movimprese</w:t>
      </w:r>
      <w:proofErr w:type="spellEnd"/>
      <w:r w:rsidRPr="00117B38">
        <w:rPr>
          <w:rFonts w:ascii="Verdana" w:hAnsi="Verdana" w:cs="Verdana"/>
          <w:b/>
          <w:bCs/>
          <w:sz w:val="20"/>
          <w:szCs w:val="20"/>
        </w:rPr>
        <w:t xml:space="preserve"> ristorazione</w:t>
      </w:r>
    </w:p>
    <w:p w:rsidR="004F6D2C" w:rsidRPr="007E31C9" w:rsidRDefault="004F6D2C" w:rsidP="004F6D2C">
      <w:pPr>
        <w:ind w:firstLine="284"/>
        <w:rPr>
          <w:rFonts w:ascii="Verdana" w:hAnsi="Verdana"/>
          <w:i/>
          <w:sz w:val="16"/>
          <w:szCs w:val="16"/>
        </w:rPr>
      </w:pPr>
      <w:r w:rsidRPr="007E31C9">
        <w:rPr>
          <w:rFonts w:ascii="Verdana" w:hAnsi="Verdana"/>
          <w:i/>
          <w:sz w:val="16"/>
          <w:szCs w:val="16"/>
        </w:rPr>
        <w:t xml:space="preserve">(I </w:t>
      </w:r>
      <w:proofErr w:type="spellStart"/>
      <w:r w:rsidRPr="007E31C9">
        <w:rPr>
          <w:rFonts w:ascii="Verdana" w:hAnsi="Verdana"/>
          <w:i/>
          <w:sz w:val="16"/>
          <w:szCs w:val="16"/>
        </w:rPr>
        <w:t>sem</w:t>
      </w:r>
      <w:proofErr w:type="spellEnd"/>
      <w:r w:rsidRPr="007E31C9">
        <w:rPr>
          <w:rFonts w:ascii="Verdana" w:hAnsi="Verdana"/>
          <w:i/>
          <w:sz w:val="16"/>
          <w:szCs w:val="16"/>
        </w:rPr>
        <w:t>. 2012)</w:t>
      </w:r>
    </w:p>
    <w:tbl>
      <w:tblPr>
        <w:tblW w:w="654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780"/>
        <w:gridCol w:w="180"/>
        <w:gridCol w:w="1780"/>
      </w:tblGrid>
      <w:tr w:rsidR="004F6D2C" w:rsidRPr="00090BDB" w:rsidTr="00B41E28">
        <w:trPr>
          <w:gridAfter w:val="2"/>
          <w:wAfter w:w="1960" w:type="dxa"/>
          <w:trHeight w:val="405"/>
        </w:trPr>
        <w:tc>
          <w:tcPr>
            <w:tcW w:w="2800" w:type="dxa"/>
            <w:shd w:val="clear" w:color="000000" w:fill="D8E4BC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  <w:r w:rsidRPr="00090BD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0" w:type="dxa"/>
            <w:shd w:val="clear" w:color="000000" w:fill="D8E4BC"/>
            <w:vAlign w:val="bottom"/>
            <w:hideMark/>
          </w:tcPr>
          <w:p w:rsidR="004F6D2C" w:rsidRPr="00090BDB" w:rsidRDefault="004F6D2C" w:rsidP="00B41E2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imprese</w:t>
            </w:r>
          </w:p>
        </w:tc>
      </w:tr>
      <w:tr w:rsidR="004F6D2C" w:rsidRPr="00090BDB" w:rsidTr="00B41E28">
        <w:trPr>
          <w:gridAfter w:val="2"/>
          <w:wAfter w:w="1960" w:type="dxa"/>
          <w:trHeight w:val="300"/>
        </w:trPr>
        <w:tc>
          <w:tcPr>
            <w:tcW w:w="2800" w:type="dxa"/>
            <w:shd w:val="clear" w:color="000000" w:fill="BFBFBF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Iscritte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t>9.063</w:t>
            </w:r>
          </w:p>
        </w:tc>
      </w:tr>
      <w:tr w:rsidR="004F6D2C" w:rsidRPr="00090BDB" w:rsidTr="00B41E28">
        <w:trPr>
          <w:gridAfter w:val="2"/>
          <w:wAfter w:w="1960" w:type="dxa"/>
          <w:trHeight w:val="300"/>
        </w:trPr>
        <w:tc>
          <w:tcPr>
            <w:tcW w:w="2800" w:type="dxa"/>
            <w:shd w:val="clear" w:color="000000" w:fill="BFBFBF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Cessate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14.004</w:t>
            </w:r>
          </w:p>
        </w:tc>
      </w:tr>
      <w:tr w:rsidR="004F6D2C" w:rsidRPr="00090BDB" w:rsidTr="00B41E28">
        <w:trPr>
          <w:gridAfter w:val="2"/>
          <w:wAfter w:w="1960" w:type="dxa"/>
          <w:trHeight w:val="300"/>
        </w:trPr>
        <w:tc>
          <w:tcPr>
            <w:tcW w:w="2800" w:type="dxa"/>
            <w:shd w:val="clear" w:color="000000" w:fill="BFBFBF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Saldo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F6D2C" w:rsidRPr="00F449D1" w:rsidRDefault="004F6D2C" w:rsidP="00B41E28">
            <w:pPr>
              <w:pStyle w:val="Paragrafoelenco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  <w:r w:rsidRPr="00F449D1">
              <w:rPr>
                <w:rFonts w:ascii="Calibri" w:eastAsia="Times New Roman" w:hAnsi="Calibri" w:cs="Calibri"/>
                <w:color w:val="000000"/>
                <w:lang w:eastAsia="it-IT"/>
              </w:rPr>
              <w:t>4.941</w:t>
            </w:r>
          </w:p>
        </w:tc>
      </w:tr>
      <w:tr w:rsidR="004F6D2C" w:rsidRPr="00090BDB" w:rsidTr="00B41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Fonte: </w:t>
            </w:r>
            <w:proofErr w:type="spellStart"/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elaboraz</w:t>
            </w:r>
            <w:proofErr w:type="spellEnd"/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. C.S. </w:t>
            </w:r>
            <w:proofErr w:type="spellStart"/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Fipe</w:t>
            </w:r>
            <w:proofErr w:type="spellEnd"/>
            <w:r w:rsidRPr="00090BD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su dati </w:t>
            </w:r>
            <w:proofErr w:type="spellStart"/>
            <w:r w:rsidRPr="00DF78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Infocamere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2C" w:rsidRPr="00090BDB" w:rsidRDefault="004F6D2C" w:rsidP="00B41E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4F6D2C" w:rsidRDefault="004F6D2C" w:rsidP="004F6D2C">
      <w:pPr>
        <w:jc w:val="both"/>
        <w:rPr>
          <w:rFonts w:ascii="Verdana" w:hAnsi="Verdana" w:cs="Verdana"/>
          <w:bCs/>
          <w:sz w:val="20"/>
          <w:szCs w:val="20"/>
        </w:rPr>
      </w:pPr>
    </w:p>
    <w:p w:rsidR="008A5CBA" w:rsidRP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sectPr w:rsidR="008A5CBA" w:rsidRPr="008A5CBA" w:rsidSect="00F24A6F">
      <w:headerReference w:type="first" r:id="rId9"/>
      <w:footerReference w:type="first" r:id="rId10"/>
      <w:pgSz w:w="11906" w:h="16838"/>
      <w:pgMar w:top="1418" w:right="1134" w:bottom="1134" w:left="1134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64" w:rsidRDefault="00227264">
      <w:r>
        <w:separator/>
      </w:r>
    </w:p>
  </w:endnote>
  <w:endnote w:type="continuationSeparator" w:id="0">
    <w:p w:rsidR="00227264" w:rsidRDefault="0022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08"/>
      <w:gridCol w:w="5400"/>
      <w:gridCol w:w="2470"/>
    </w:tblGrid>
    <w:tr w:rsidR="008475E7">
      <w:tc>
        <w:tcPr>
          <w:tcW w:w="1908" w:type="dxa"/>
        </w:tcPr>
        <w:p w:rsidR="008475E7" w:rsidRDefault="002F033D">
          <w:pPr>
            <w:pStyle w:val="Pidipagina"/>
          </w:pPr>
          <w:r>
            <w:rPr>
              <w:bCs/>
              <w:noProof/>
              <w:color w:val="000080"/>
            </w:rPr>
            <w:drawing>
              <wp:inline distT="0" distB="0" distL="0" distR="0">
                <wp:extent cx="645160" cy="645160"/>
                <wp:effectExtent l="0" t="0" r="2540" b="2540"/>
                <wp:docPr id="2" name="Immagine 2" descr="Conftur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ftur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</w:rPr>
          </w:pPr>
          <w:r w:rsidRPr="008475E7">
            <w:rPr>
              <w:rFonts w:ascii="Verdana" w:hAnsi="Verdana"/>
              <w:sz w:val="18"/>
              <w:szCs w:val="18"/>
            </w:rPr>
            <w:t xml:space="preserve"> </w:t>
          </w:r>
        </w:p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</w:rPr>
          </w:pPr>
          <w:r w:rsidRPr="008475E7">
            <w:rPr>
              <w:rFonts w:ascii="Verdana" w:hAnsi="Verdana"/>
              <w:sz w:val="18"/>
              <w:szCs w:val="18"/>
            </w:rPr>
            <w:t>Piazza G.G. Belli, 2 - 00153 ROMA</w:t>
          </w:r>
        </w:p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</w:rPr>
          </w:pPr>
          <w:r w:rsidRPr="008475E7">
            <w:rPr>
              <w:rFonts w:ascii="Verdana" w:hAnsi="Verdana"/>
              <w:sz w:val="18"/>
              <w:szCs w:val="18"/>
            </w:rPr>
            <w:t>Tel. 06.58.39.21 - Fax 06.581.86.82</w:t>
          </w:r>
        </w:p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  <w:lang w:val="en-GB"/>
            </w:rPr>
          </w:pPr>
          <w:r w:rsidRPr="008475E7">
            <w:rPr>
              <w:rFonts w:ascii="Verdana" w:hAnsi="Verdana"/>
              <w:sz w:val="18"/>
              <w:szCs w:val="18"/>
              <w:lang w:val="en-GB"/>
            </w:rPr>
            <w:t xml:space="preserve">Web: www.fipe.it - Email: </w:t>
          </w:r>
          <w:r w:rsidR="001714EA">
            <w:rPr>
              <w:rFonts w:ascii="Verdana" w:hAnsi="Verdana"/>
              <w:sz w:val="18"/>
              <w:szCs w:val="18"/>
              <w:lang w:val="en-GB"/>
            </w:rPr>
            <w:t>stampa</w:t>
          </w:r>
          <w:r w:rsidRPr="008475E7">
            <w:rPr>
              <w:rFonts w:ascii="Verdana" w:hAnsi="Verdana"/>
              <w:sz w:val="18"/>
              <w:szCs w:val="18"/>
              <w:lang w:val="en-GB"/>
            </w:rPr>
            <w:t>@fipe.it</w:t>
          </w:r>
        </w:p>
        <w:p w:rsidR="008475E7" w:rsidRPr="00F24A6F" w:rsidRDefault="008475E7">
          <w:pPr>
            <w:pStyle w:val="Pidipagina"/>
            <w:rPr>
              <w:lang w:val="en-GB"/>
            </w:rPr>
          </w:pPr>
        </w:p>
      </w:tc>
      <w:tc>
        <w:tcPr>
          <w:tcW w:w="2470" w:type="dxa"/>
        </w:tcPr>
        <w:p w:rsidR="008475E7" w:rsidRDefault="002F033D" w:rsidP="00F24A6F">
          <w:pPr>
            <w:pStyle w:val="Pidipagina"/>
            <w:jc w:val="right"/>
          </w:pPr>
          <w:r>
            <w:rPr>
              <w:noProof/>
            </w:rPr>
            <w:drawing>
              <wp:inline distT="0" distB="0" distL="0" distR="0">
                <wp:extent cx="1258570" cy="537845"/>
                <wp:effectExtent l="0" t="0" r="0" b="0"/>
                <wp:docPr id="3" name="Immagine 3" descr="logo Confcommercio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nfcommercio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75E7" w:rsidRPr="00F24A6F" w:rsidRDefault="008475E7" w:rsidP="00F24A6F">
          <w:pPr>
            <w:jc w:val="center"/>
          </w:pPr>
        </w:p>
      </w:tc>
    </w:tr>
  </w:tbl>
  <w:p w:rsidR="008475E7" w:rsidRDefault="008475E7" w:rsidP="00F24A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64" w:rsidRDefault="00227264">
      <w:r>
        <w:separator/>
      </w:r>
    </w:p>
  </w:footnote>
  <w:footnote w:type="continuationSeparator" w:id="0">
    <w:p w:rsidR="00227264" w:rsidRDefault="00227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EA" w:rsidRDefault="002F033D" w:rsidP="001714EA">
    <w:pPr>
      <w:pStyle w:val="Intestazione"/>
      <w:tabs>
        <w:tab w:val="clear" w:pos="4819"/>
      </w:tabs>
      <w:rPr>
        <w:rFonts w:ascii="Arial" w:hAnsi="Arial" w:cs="Arial"/>
        <w:b/>
        <w:bCs/>
        <w:sz w:val="56"/>
      </w:rPr>
    </w:pPr>
    <w:r>
      <w:rPr>
        <w:noProof/>
      </w:rPr>
      <w:drawing>
        <wp:inline distT="0" distB="0" distL="0" distR="0">
          <wp:extent cx="1828800" cy="860425"/>
          <wp:effectExtent l="0" t="0" r="0" b="0"/>
          <wp:docPr id="1" name="Immagine 1" descr="logo fipe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pe ba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14EA">
      <w:rPr>
        <w:rFonts w:ascii="Arial" w:hAnsi="Arial" w:cs="Arial"/>
        <w:b/>
        <w:bCs/>
        <w:sz w:val="56"/>
      </w:rPr>
      <w:t xml:space="preserve">          Nota </w:t>
    </w:r>
    <w:r w:rsidR="004F6D2C">
      <w:rPr>
        <w:rFonts w:ascii="Arial" w:hAnsi="Arial" w:cs="Arial"/>
        <w:b/>
        <w:bCs/>
        <w:sz w:val="56"/>
      </w:rPr>
      <w:t>Centro Studi</w:t>
    </w:r>
  </w:p>
  <w:p w:rsidR="008475E7" w:rsidRDefault="008475E7" w:rsidP="001714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2C"/>
    <w:rsid w:val="0005276A"/>
    <w:rsid w:val="000D26D1"/>
    <w:rsid w:val="000E563E"/>
    <w:rsid w:val="00144DCE"/>
    <w:rsid w:val="001714EA"/>
    <w:rsid w:val="001876A2"/>
    <w:rsid w:val="002023AF"/>
    <w:rsid w:val="00227264"/>
    <w:rsid w:val="002360BA"/>
    <w:rsid w:val="002C5793"/>
    <w:rsid w:val="002F033D"/>
    <w:rsid w:val="00410BCC"/>
    <w:rsid w:val="004A7CCC"/>
    <w:rsid w:val="004F6D2C"/>
    <w:rsid w:val="0053437D"/>
    <w:rsid w:val="0056554E"/>
    <w:rsid w:val="00595790"/>
    <w:rsid w:val="00686CA9"/>
    <w:rsid w:val="006907A2"/>
    <w:rsid w:val="007E2DF8"/>
    <w:rsid w:val="008475E7"/>
    <w:rsid w:val="008A5CBA"/>
    <w:rsid w:val="009136A6"/>
    <w:rsid w:val="00990B31"/>
    <w:rsid w:val="00BC75A5"/>
    <w:rsid w:val="00C415C4"/>
    <w:rsid w:val="00CD6C51"/>
    <w:rsid w:val="00D5628C"/>
    <w:rsid w:val="00D6764D"/>
    <w:rsid w:val="00DF762E"/>
    <w:rsid w:val="00E05C97"/>
    <w:rsid w:val="00E2444E"/>
    <w:rsid w:val="00ED17F6"/>
    <w:rsid w:val="00F23A46"/>
    <w:rsid w:val="00F24A6F"/>
    <w:rsid w:val="00F37706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D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D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6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D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D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6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.romagnoli\AppData\Roaming\Microsoft\Templates\fipe%20nota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giove\condivisa\FIPE\dati%20fipe\UFFICIO%20STUDI\Fonte%20dati\Istat\prezzi\consumo\anno2012\serie%20congiunturale%20bar%20e%20risto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iove\condivisa\FIPE\dati%20fipe\UFFICIO%20STUDI\Fonte%20dati\Istat\congiuntura%20servizi\fs_02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 sz="80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rPr>
              <a:t>I prezzi nei Pubblici Esercizi </a:t>
            </a:r>
            <a:endParaRPr lang="it-IT"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rPr>
              <a:t>(var% sullo stesso mese dell'anno precedente)</a:t>
            </a:r>
            <a:endParaRPr lang="it-I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180811808118078E-2"/>
          <c:y val="0.16804407713498623"/>
          <c:w val="0.8929889298892989"/>
          <c:h val="0.44352617079889806"/>
        </c:manualLayout>
      </c:layout>
      <c:lineChart>
        <c:grouping val="standard"/>
        <c:varyColors val="0"/>
        <c:ser>
          <c:idx val="0"/>
          <c:order val="0"/>
          <c:tx>
            <c:strRef>
              <c:f>tend!$A$5</c:f>
              <c:strCache>
                <c:ptCount val="1"/>
                <c:pt idx="0">
                  <c:v>ristorazione</c:v>
                </c:pt>
              </c:strCache>
            </c:strRef>
          </c:tx>
          <c:spPr>
            <a:ln w="22225"/>
          </c:spPr>
          <c:marker>
            <c:symbol val="none"/>
          </c:marker>
          <c:cat>
            <c:multiLvlStrRef>
              <c:f>tend!$N$1:$BD$2</c:f>
              <c:multiLvlStrCache>
                <c:ptCount val="43"/>
                <c:lvl>
                  <c:pt idx="0">
                    <c:v>gen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mag</c:v>
                  </c:pt>
                  <c:pt idx="5">
                    <c:v>giu</c:v>
                  </c:pt>
                  <c:pt idx="6">
                    <c:v>lug</c:v>
                  </c:pt>
                  <c:pt idx="7">
                    <c:v>ago</c:v>
                  </c:pt>
                  <c:pt idx="8">
                    <c:v>set</c:v>
                  </c:pt>
                  <c:pt idx="9">
                    <c:v>ott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gen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mag</c:v>
                  </c:pt>
                  <c:pt idx="17">
                    <c:v>giu</c:v>
                  </c:pt>
                  <c:pt idx="18">
                    <c:v>lug</c:v>
                  </c:pt>
                  <c:pt idx="19">
                    <c:v>ago</c:v>
                  </c:pt>
                  <c:pt idx="20">
                    <c:v>set</c:v>
                  </c:pt>
                  <c:pt idx="21">
                    <c:v>ott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gen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mag</c:v>
                  </c:pt>
                  <c:pt idx="29">
                    <c:v>giu</c:v>
                  </c:pt>
                  <c:pt idx="30">
                    <c:v>lug</c:v>
                  </c:pt>
                  <c:pt idx="31">
                    <c:v>ago</c:v>
                  </c:pt>
                  <c:pt idx="32">
                    <c:v>set</c:v>
                  </c:pt>
                  <c:pt idx="33">
                    <c:v>ott</c:v>
                  </c:pt>
                  <c:pt idx="34">
                    <c:v>nov</c:v>
                  </c:pt>
                  <c:pt idx="35">
                    <c:v>dic</c:v>
                  </c:pt>
                  <c:pt idx="36">
                    <c:v>gen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  <c:pt idx="40">
                    <c:v>mag</c:v>
                  </c:pt>
                  <c:pt idx="41">
                    <c:v>giu</c:v>
                  </c:pt>
                  <c:pt idx="42">
                    <c:v>lug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</c:lvl>
              </c:multiLvlStrCache>
            </c:multiLvlStrRef>
          </c:cat>
          <c:val>
            <c:numRef>
              <c:f>tend!$N$5:$BD$5</c:f>
              <c:numCache>
                <c:formatCode>0.0</c:formatCode>
                <c:ptCount val="43"/>
                <c:pt idx="0">
                  <c:v>2.9288702928870265</c:v>
                </c:pt>
                <c:pt idx="1">
                  <c:v>2.851182197496513</c:v>
                </c:pt>
                <c:pt idx="2">
                  <c:v>2.7027027027026946</c:v>
                </c:pt>
                <c:pt idx="3">
                  <c:v>2.6279391424619831</c:v>
                </c:pt>
                <c:pt idx="4">
                  <c:v>2.4827586206896513</c:v>
                </c:pt>
                <c:pt idx="5">
                  <c:v>2.4088093599449394</c:v>
                </c:pt>
                <c:pt idx="6">
                  <c:v>2.1962937542896412</c:v>
                </c:pt>
                <c:pt idx="7">
                  <c:v>2.123287671232859</c:v>
                </c:pt>
                <c:pt idx="8">
                  <c:v>2.116040955631405</c:v>
                </c:pt>
                <c:pt idx="9">
                  <c:v>2.0435967302452411</c:v>
                </c:pt>
                <c:pt idx="10">
                  <c:v>1.9714479945615295</c:v>
                </c:pt>
                <c:pt idx="11">
                  <c:v>2.0366598778004175</c:v>
                </c:pt>
                <c:pt idx="12">
                  <c:v>2.1002710027100164</c:v>
                </c:pt>
                <c:pt idx="13">
                  <c:v>2.0283975659229299</c:v>
                </c:pt>
                <c:pt idx="14">
                  <c:v>2.0242914979757103</c:v>
                </c:pt>
                <c:pt idx="15">
                  <c:v>2.0215633423180606</c:v>
                </c:pt>
                <c:pt idx="16">
                  <c:v>2.0861372812920536</c:v>
                </c:pt>
                <c:pt idx="17">
                  <c:v>2.0833333333333286</c:v>
                </c:pt>
                <c:pt idx="18">
                  <c:v>2.1</c:v>
                </c:pt>
                <c:pt idx="19">
                  <c:v>2.0791415157612221</c:v>
                </c:pt>
                <c:pt idx="20">
                  <c:v>2.0053475935828828</c:v>
                </c:pt>
                <c:pt idx="21">
                  <c:v>2.0694259012016119</c:v>
                </c:pt>
                <c:pt idx="22" formatCode="General">
                  <c:v>2.1333333333333258</c:v>
                </c:pt>
                <c:pt idx="23" formatCode="General">
                  <c:v>2.0625415834996517</c:v>
                </c:pt>
                <c:pt idx="24">
                  <c:v>1.859522157419164</c:v>
                </c:pt>
                <c:pt idx="25">
                  <c:v>2.2999999999999998</c:v>
                </c:pt>
                <c:pt idx="26">
                  <c:v>2.1</c:v>
                </c:pt>
                <c:pt idx="27">
                  <c:v>1.9</c:v>
                </c:pt>
                <c:pt idx="28">
                  <c:v>2.17</c:v>
                </c:pt>
                <c:pt idx="29">
                  <c:v>2.2999999999999998</c:v>
                </c:pt>
                <c:pt idx="30">
                  <c:v>2.2999999999999998</c:v>
                </c:pt>
                <c:pt idx="31">
                  <c:v>2.2000000000000002</c:v>
                </c:pt>
                <c:pt idx="32">
                  <c:v>2.2000000000000002</c:v>
                </c:pt>
                <c:pt idx="33">
                  <c:v>2.2999999999999998</c:v>
                </c:pt>
                <c:pt idx="34">
                  <c:v>2.2999999999999998</c:v>
                </c:pt>
                <c:pt idx="35">
                  <c:v>2.2999999999999998</c:v>
                </c:pt>
                <c:pt idx="36">
                  <c:v>2.1</c:v>
                </c:pt>
                <c:pt idx="37">
                  <c:v>2.1</c:v>
                </c:pt>
                <c:pt idx="38">
                  <c:v>2.1</c:v>
                </c:pt>
                <c:pt idx="39">
                  <c:v>2.1</c:v>
                </c:pt>
                <c:pt idx="40">
                  <c:v>2.2000000000000002</c:v>
                </c:pt>
                <c:pt idx="41">
                  <c:v>2</c:v>
                </c:pt>
                <c:pt idx="42">
                  <c:v>2.1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tend!$A$6</c:f>
              <c:strCache>
                <c:ptCount val="1"/>
                <c:pt idx="0">
                  <c:v>prezzi al consumo</c:v>
                </c:pt>
              </c:strCache>
            </c:strRef>
          </c:tx>
          <c:spPr>
            <a:ln w="22225"/>
          </c:spPr>
          <c:marker>
            <c:symbol val="none"/>
          </c:marker>
          <c:cat>
            <c:multiLvlStrRef>
              <c:f>tend!$N$1:$BD$2</c:f>
              <c:multiLvlStrCache>
                <c:ptCount val="43"/>
                <c:lvl>
                  <c:pt idx="0">
                    <c:v>gen</c:v>
                  </c:pt>
                  <c:pt idx="1">
                    <c:v>feb</c:v>
                  </c:pt>
                  <c:pt idx="2">
                    <c:v>mar</c:v>
                  </c:pt>
                  <c:pt idx="3">
                    <c:v>apr</c:v>
                  </c:pt>
                  <c:pt idx="4">
                    <c:v>mag</c:v>
                  </c:pt>
                  <c:pt idx="5">
                    <c:v>giu</c:v>
                  </c:pt>
                  <c:pt idx="6">
                    <c:v>lug</c:v>
                  </c:pt>
                  <c:pt idx="7">
                    <c:v>ago</c:v>
                  </c:pt>
                  <c:pt idx="8">
                    <c:v>set</c:v>
                  </c:pt>
                  <c:pt idx="9">
                    <c:v>ott</c:v>
                  </c:pt>
                  <c:pt idx="10">
                    <c:v>nov</c:v>
                  </c:pt>
                  <c:pt idx="11">
                    <c:v>dic</c:v>
                  </c:pt>
                  <c:pt idx="12">
                    <c:v>gen</c:v>
                  </c:pt>
                  <c:pt idx="13">
                    <c:v>feb</c:v>
                  </c:pt>
                  <c:pt idx="14">
                    <c:v>mar</c:v>
                  </c:pt>
                  <c:pt idx="15">
                    <c:v>apr</c:v>
                  </c:pt>
                  <c:pt idx="16">
                    <c:v>mag</c:v>
                  </c:pt>
                  <c:pt idx="17">
                    <c:v>giu</c:v>
                  </c:pt>
                  <c:pt idx="18">
                    <c:v>lug</c:v>
                  </c:pt>
                  <c:pt idx="19">
                    <c:v>ago</c:v>
                  </c:pt>
                  <c:pt idx="20">
                    <c:v>set</c:v>
                  </c:pt>
                  <c:pt idx="21">
                    <c:v>ott</c:v>
                  </c:pt>
                  <c:pt idx="22">
                    <c:v>nov</c:v>
                  </c:pt>
                  <c:pt idx="23">
                    <c:v>dic</c:v>
                  </c:pt>
                  <c:pt idx="24">
                    <c:v>gen</c:v>
                  </c:pt>
                  <c:pt idx="25">
                    <c:v>feb</c:v>
                  </c:pt>
                  <c:pt idx="26">
                    <c:v>mar</c:v>
                  </c:pt>
                  <c:pt idx="27">
                    <c:v>apr</c:v>
                  </c:pt>
                  <c:pt idx="28">
                    <c:v>mag</c:v>
                  </c:pt>
                  <c:pt idx="29">
                    <c:v>giu</c:v>
                  </c:pt>
                  <c:pt idx="30">
                    <c:v>lug</c:v>
                  </c:pt>
                  <c:pt idx="31">
                    <c:v>ago</c:v>
                  </c:pt>
                  <c:pt idx="32">
                    <c:v>set</c:v>
                  </c:pt>
                  <c:pt idx="33">
                    <c:v>ott</c:v>
                  </c:pt>
                  <c:pt idx="34">
                    <c:v>nov</c:v>
                  </c:pt>
                  <c:pt idx="35">
                    <c:v>dic</c:v>
                  </c:pt>
                  <c:pt idx="36">
                    <c:v>gen</c:v>
                  </c:pt>
                  <c:pt idx="37">
                    <c:v>feb</c:v>
                  </c:pt>
                  <c:pt idx="38">
                    <c:v>mar</c:v>
                  </c:pt>
                  <c:pt idx="39">
                    <c:v>apr</c:v>
                  </c:pt>
                  <c:pt idx="40">
                    <c:v>mag</c:v>
                  </c:pt>
                  <c:pt idx="41">
                    <c:v>giu</c:v>
                  </c:pt>
                  <c:pt idx="42">
                    <c:v>lug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</c:lvl>
              </c:multiLvlStrCache>
            </c:multiLvlStrRef>
          </c:cat>
          <c:val>
            <c:numRef>
              <c:f>tend!$N$6:$BD$6</c:f>
              <c:numCache>
                <c:formatCode>General</c:formatCode>
                <c:ptCount val="43"/>
                <c:pt idx="0">
                  <c:v>1.6</c:v>
                </c:pt>
                <c:pt idx="1">
                  <c:v>1.6</c:v>
                </c:pt>
                <c:pt idx="2">
                  <c:v>1.2</c:v>
                </c:pt>
                <c:pt idx="3">
                  <c:v>1.2</c:v>
                </c:pt>
                <c:pt idx="4">
                  <c:v>0.9</c:v>
                </c:pt>
                <c:pt idx="5">
                  <c:v>0.5</c:v>
                </c:pt>
                <c:pt idx="6" formatCode="0.0">
                  <c:v>0</c:v>
                </c:pt>
                <c:pt idx="7">
                  <c:v>0.1</c:v>
                </c:pt>
                <c:pt idx="8" formatCode="0.0">
                  <c:v>0.2</c:v>
                </c:pt>
                <c:pt idx="9" formatCode="0.0">
                  <c:v>0.3</c:v>
                </c:pt>
                <c:pt idx="10" formatCode="0.0">
                  <c:v>0.7</c:v>
                </c:pt>
                <c:pt idx="11" formatCode="0.0">
                  <c:v>1</c:v>
                </c:pt>
                <c:pt idx="12" formatCode="0.0">
                  <c:v>1.316752011704466</c:v>
                </c:pt>
                <c:pt idx="13">
                  <c:v>1.1678832116788271</c:v>
                </c:pt>
                <c:pt idx="14" formatCode="0.0">
                  <c:v>1.3858497447118907</c:v>
                </c:pt>
                <c:pt idx="15">
                  <c:v>1.5283842794759721</c:v>
                </c:pt>
                <c:pt idx="16" formatCode="0.0">
                  <c:v>1.3798111837327554</c:v>
                </c:pt>
                <c:pt idx="17" formatCode="0.0">
                  <c:v>1.3</c:v>
                </c:pt>
                <c:pt idx="18" formatCode="0.0">
                  <c:v>1.7</c:v>
                </c:pt>
                <c:pt idx="19" formatCode="0.0">
                  <c:v>1.5918958031838031</c:v>
                </c:pt>
                <c:pt idx="20" formatCode="0.0">
                  <c:v>1.5953589557650361</c:v>
                </c:pt>
                <c:pt idx="21" formatCode="0.0">
                  <c:v>1.7391304347826235</c:v>
                </c:pt>
                <c:pt idx="22">
                  <c:v>1.7391304347826235</c:v>
                </c:pt>
                <c:pt idx="23">
                  <c:v>1.8799710773680403</c:v>
                </c:pt>
                <c:pt idx="24" formatCode="0.0">
                  <c:v>2.1498916967509274</c:v>
                </c:pt>
                <c:pt idx="25" formatCode="0.0">
                  <c:v>2.4</c:v>
                </c:pt>
                <c:pt idx="26" formatCode="0.0">
                  <c:v>2.5</c:v>
                </c:pt>
                <c:pt idx="27" formatCode="0.0">
                  <c:v>2.6</c:v>
                </c:pt>
                <c:pt idx="28" formatCode="0.0">
                  <c:v>2.6</c:v>
                </c:pt>
                <c:pt idx="29" formatCode="0.0">
                  <c:v>2.7</c:v>
                </c:pt>
                <c:pt idx="30" formatCode="0.0">
                  <c:v>2.7</c:v>
                </c:pt>
                <c:pt idx="31" formatCode="0.0">
                  <c:v>2.8</c:v>
                </c:pt>
                <c:pt idx="32" formatCode="0.0">
                  <c:v>3</c:v>
                </c:pt>
                <c:pt idx="33" formatCode="0.0">
                  <c:v>3.4</c:v>
                </c:pt>
                <c:pt idx="34" formatCode="0.0">
                  <c:v>3.3</c:v>
                </c:pt>
                <c:pt idx="35" formatCode="0.0">
                  <c:v>3.3</c:v>
                </c:pt>
                <c:pt idx="36" formatCode="0.0">
                  <c:v>3.2</c:v>
                </c:pt>
                <c:pt idx="37" formatCode="0.0">
                  <c:v>3.3</c:v>
                </c:pt>
                <c:pt idx="38" formatCode="0.0">
                  <c:v>3.3</c:v>
                </c:pt>
                <c:pt idx="39" formatCode="0.0">
                  <c:v>3.3</c:v>
                </c:pt>
                <c:pt idx="40" formatCode="0.0">
                  <c:v>3.2</c:v>
                </c:pt>
                <c:pt idx="41" formatCode="0.0">
                  <c:v>3.3</c:v>
                </c:pt>
                <c:pt idx="42" formatCode="0.0">
                  <c:v>3.1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342464"/>
        <c:axId val="63344000"/>
      </c:lineChart>
      <c:catAx>
        <c:axId val="63342464"/>
        <c:scaling>
          <c:orientation val="minMax"/>
        </c:scaling>
        <c:delete val="0"/>
        <c:axPos val="b"/>
        <c:majorGridlines>
          <c:spPr>
            <a:ln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6334400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6334400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6334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89874091825481"/>
          <c:y val="0.84664956017877946"/>
          <c:w val="0.43188424816463161"/>
          <c:h val="7.667773557059365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it-IT"/>
        </a:p>
      </c:txPr>
    </c:legend>
    <c:plotVisOnly val="1"/>
    <c:dispBlanksAs val="gap"/>
    <c:showDLblsOverMax val="0"/>
  </c:chart>
  <c:spPr>
    <a:ln>
      <a:solidFill>
        <a:srgbClr val="333399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100"/>
              <a:t>Indici trimestrali del fatturato della ristorazione </a:t>
            </a:r>
          </a:p>
          <a:p>
            <a:pPr>
              <a:defRPr/>
            </a:pPr>
            <a:r>
              <a:rPr lang="it-IT" sz="900"/>
              <a:t>(base 2010=100)</a:t>
            </a:r>
            <a:r>
              <a:rPr lang="it-IT" sz="900" baseline="0"/>
              <a:t> </a:t>
            </a:r>
          </a:p>
          <a:p>
            <a:pPr>
              <a:defRPr/>
            </a:pPr>
            <a:r>
              <a:rPr lang="it-IT" sz="900" b="0" baseline="0"/>
              <a:t>(variazioni percentuali rispetto allo stesso periodo dell'anno precedente)</a:t>
            </a:r>
            <a:endParaRPr lang="it-IT" sz="9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477000980937989E-2"/>
          <c:y val="0.34071247142494282"/>
          <c:w val="0.88560036056099045"/>
          <c:h val="0.5995965625264584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92D050"/>
              </a:solidFill>
            </a:ln>
          </c:spPr>
          <c:marker>
            <c:symbol val="square"/>
            <c:size val="7"/>
            <c:spPr>
              <a:solidFill>
                <a:srgbClr val="669900"/>
              </a:solidFill>
            </c:spPr>
          </c:marker>
          <c:dPt>
            <c:idx val="1"/>
            <c:bubble3D val="0"/>
            <c:spPr>
              <a:ln>
                <a:solidFill>
                  <a:srgbClr val="669900"/>
                </a:solidFill>
              </a:ln>
            </c:spPr>
          </c:dPt>
          <c:dPt>
            <c:idx val="2"/>
            <c:bubble3D val="0"/>
            <c:spPr>
              <a:ln>
                <a:solidFill>
                  <a:srgbClr val="669900"/>
                </a:solidFill>
              </a:ln>
            </c:spPr>
          </c:dPt>
          <c:dPt>
            <c:idx val="3"/>
            <c:bubble3D val="0"/>
            <c:spPr>
              <a:ln>
                <a:solidFill>
                  <a:srgbClr val="669900"/>
                </a:solidFill>
              </a:ln>
            </c:spPr>
          </c:dPt>
          <c:dPt>
            <c:idx val="4"/>
            <c:bubble3D val="0"/>
            <c:spPr>
              <a:ln>
                <a:solidFill>
                  <a:srgbClr val="669900"/>
                </a:solidFill>
              </a:ln>
            </c:spPr>
          </c:dPt>
          <c:dPt>
            <c:idx val="5"/>
            <c:bubble3D val="0"/>
            <c:spPr>
              <a:ln>
                <a:solidFill>
                  <a:srgbClr val="669900"/>
                </a:solidFill>
              </a:ln>
            </c:spPr>
          </c:dPt>
          <c:dLbls>
            <c:dLbl>
              <c:idx val="1"/>
              <c:layout>
                <c:manualLayout>
                  <c:x val="-1.6161616161616162E-2"/>
                  <c:y val="5.376344086021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aseline="0"/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aseline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'Tab. 9 - Var. Indici base 2010'!$A$10:$B$15</c:f>
              <c:multiLvlStrCache>
                <c:ptCount val="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II(a)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</c:lvl>
              </c:multiLvlStrCache>
            </c:multiLvlStrRef>
          </c:cat>
          <c:val>
            <c:numRef>
              <c:f>'Tab. 9 - Var. Indici base 2010'!$G$10:$G$15</c:f>
              <c:numCache>
                <c:formatCode>0.0</c:formatCode>
                <c:ptCount val="6"/>
                <c:pt idx="0">
                  <c:v>0.6</c:v>
                </c:pt>
                <c:pt idx="1">
                  <c:v>-2.6</c:v>
                </c:pt>
                <c:pt idx="2">
                  <c:v>-2.4</c:v>
                </c:pt>
                <c:pt idx="3">
                  <c:v>-1</c:v>
                </c:pt>
                <c:pt idx="4">
                  <c:v>1.8</c:v>
                </c:pt>
                <c:pt idx="5">
                  <c:v>-1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371904"/>
        <c:axId val="63377792"/>
      </c:lineChart>
      <c:catAx>
        <c:axId val="6337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3377792"/>
        <c:crosses val="autoZero"/>
        <c:auto val="1"/>
        <c:lblAlgn val="ctr"/>
        <c:lblOffset val="100"/>
        <c:noMultiLvlLbl val="0"/>
      </c:catAx>
      <c:valAx>
        <c:axId val="6337779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63371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0.02614</cdr:x>
      <cdr:y>0.91182</cdr:y>
    </cdr:from>
    <cdr:to>
      <cdr:x>0.45534</cdr:x>
      <cdr:y>0.97942</cdr:y>
    </cdr:to>
    <cdr:sp macro="" textlink="">
      <cdr:nvSpPr>
        <cdr:cNvPr id="18329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8375" y="2117546"/>
          <a:ext cx="2219842" cy="152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it-IT" sz="800" b="0" i="1" u="none" strike="noStrike" baseline="0">
              <a:solidFill>
                <a:srgbClr val="000000"/>
              </a:solidFill>
              <a:latin typeface="Arial"/>
              <a:cs typeface="Arial"/>
            </a:rPr>
            <a:t>Fonte:elaboraz. C.S. Fipe su dati Istat</a:t>
          </a:r>
          <a:endParaRPr lang="it-IT"/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fipe nota</Template>
  <TotalTime>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Romagnoli</dc:creator>
  <cp:lastModifiedBy>Renata Romagnoli</cp:lastModifiedBy>
  <cp:revision>3</cp:revision>
  <cp:lastPrinted>2009-11-30T14:24:00Z</cp:lastPrinted>
  <dcterms:created xsi:type="dcterms:W3CDTF">2012-09-13T12:22:00Z</dcterms:created>
  <dcterms:modified xsi:type="dcterms:W3CDTF">2012-09-13T12:28:00Z</dcterms:modified>
</cp:coreProperties>
</file>